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53CEF">
      <w:pPr>
        <w:spacing w:line="360" w:lineRule="auto"/>
        <w:jc w:val="center"/>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sz w:val="24"/>
          <w:szCs w:val="24"/>
          <w:lang w:val="en-US" w:eastAsia="zh-CN"/>
        </w:rPr>
        <w:t>关于配合完成“壹企付”支付产品迁移工作的通知</w:t>
      </w:r>
    </w:p>
    <w:p w14:paraId="08245C72">
      <w:pPr>
        <w:spacing w:line="360" w:lineRule="auto"/>
        <w:jc w:val="both"/>
        <w:rPr>
          <w:rFonts w:hint="eastAsia" w:ascii="宋体" w:hAnsi="宋体" w:eastAsia="宋体" w:cs="宋体"/>
          <w:b/>
          <w:bCs/>
          <w:sz w:val="24"/>
          <w:szCs w:val="24"/>
          <w:lang w:val="en-US" w:eastAsia="zh-CN"/>
        </w:rPr>
      </w:pPr>
    </w:p>
    <w:p w14:paraId="283A02F5">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致 [合作单位名称]：</w:t>
      </w:r>
    </w:p>
    <w:p w14:paraId="07661ED4">
      <w:pPr>
        <w:spacing w:line="360" w:lineRule="auto"/>
        <w:ind w:firstLine="720" w:firstLineChars="3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您好！首先衷心感谢贵司长期以来对中金支付有限公司的信任与支持。</w:t>
      </w:r>
    </w:p>
    <w:p w14:paraId="347CAF75">
      <w:pPr>
        <w:spacing w:line="360" w:lineRule="auto"/>
        <w:ind w:firstLine="720" w:firstLineChars="3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根据上级监管部门的最新合规要求与指导意见，我司对在营支付产品进行了全面核查。经查，贵单位目前所使用的 “线上支付 - 市场模式”支付产品</w:t>
      </w:r>
      <w:r>
        <w:rPr>
          <w:rFonts w:hint="eastAsia" w:ascii="宋体" w:hAnsi="宋体" w:eastAsia="宋体" w:cs="宋体"/>
          <w:sz w:val="24"/>
          <w:lang w:val="en-US" w:eastAsia="zh-CN"/>
        </w:rPr>
        <w:t>（即未在中金支付有限公司进行实名认证，仅依托平台收款的业务模式）</w:t>
      </w:r>
      <w:r>
        <w:rPr>
          <w:rFonts w:hint="eastAsia" w:ascii="宋体" w:hAnsi="宋体" w:eastAsia="宋体" w:cs="宋体"/>
          <w:b w:val="0"/>
          <w:bCs w:val="0"/>
          <w:sz w:val="24"/>
          <w:szCs w:val="24"/>
          <w:lang w:val="en-US" w:eastAsia="zh-CN"/>
        </w:rPr>
        <w:t>因未能完全满足监管部门关于“收款方需完成实名认证”的强制性规范，存在一定合规优化空间。</w:t>
      </w:r>
    </w:p>
    <w:p w14:paraId="01870DD3">
      <w:pPr>
        <w:spacing w:line="360" w:lineRule="auto"/>
        <w:ind w:firstLine="720" w:firstLineChars="3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为共同落实监管要求，保障贵司业务长期合法合规运营，有效规避潜在风险，我司计划于2025年12月31日起停止提供“线上支付 - 市场模式”支付服务，并同步启用符合监管要求的全新支付产品——“壹企付”。该产品需</w:t>
      </w:r>
      <w:r>
        <w:rPr>
          <w:rFonts w:hint="eastAsia" w:ascii="宋体" w:hAnsi="宋体" w:eastAsia="宋体" w:cs="宋体"/>
          <w:sz w:val="24"/>
          <w:lang w:val="en-US" w:eastAsia="zh-CN"/>
        </w:rPr>
        <w:t>贵司根据人民银行等相关规定，提供营业执照，法人身份证等有效证件通过线上完成实名认证，成为我司特约商户后方可使用</w:t>
      </w:r>
      <w:r>
        <w:rPr>
          <w:rFonts w:hint="eastAsia" w:ascii="宋体" w:hAnsi="宋体" w:eastAsia="宋体" w:cs="宋体"/>
          <w:b w:val="0"/>
          <w:bCs w:val="0"/>
          <w:sz w:val="24"/>
          <w:szCs w:val="24"/>
          <w:lang w:val="en-US" w:eastAsia="zh-CN"/>
        </w:rPr>
        <w:t>。</w:t>
      </w:r>
    </w:p>
    <w:p w14:paraId="1D0C1713">
      <w:pPr>
        <w:spacing w:line="360" w:lineRule="auto"/>
        <w:ind w:firstLine="480"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一、关于合规要求的说明</w:t>
      </w:r>
    </w:p>
    <w:p w14:paraId="450BFB65">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原 “线上支付 - 市场模式”支付产品暂未完全符合以下监管规定中关于收款方身份核验的核心要求，具体包括：</w:t>
      </w:r>
    </w:p>
    <w:p w14:paraId="302C05A5">
      <w:pPr>
        <w:numPr>
          <w:ilvl w:val="0"/>
          <w:numId w:val="1"/>
        </w:numPr>
        <w:spacing w:line="360" w:lineRule="auto"/>
        <w:ind w:left="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《中国人民银行关于加强支付结算管理防范电信网络新型违法犯罪有关事项的通知》第十一条（禁止匿名、假名收款）；</w:t>
      </w:r>
    </w:p>
    <w:p w14:paraId="4C17041D">
      <w:pPr>
        <w:numPr>
          <w:ilvl w:val="0"/>
          <w:numId w:val="1"/>
        </w:numPr>
        <w:spacing w:line="360" w:lineRule="auto"/>
        <w:ind w:left="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《非银支付机构网络支付业务管理办法》第六条（需对收款方身份进行实质性核验）；</w:t>
      </w:r>
    </w:p>
    <w:p w14:paraId="764E319C">
      <w:pPr>
        <w:numPr>
          <w:ilvl w:val="0"/>
          <w:numId w:val="1"/>
        </w:numPr>
        <w:spacing w:line="360" w:lineRule="auto"/>
        <w:ind w:left="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《银行卡收单业务管理办法》第七条（确保特约商户资质真实、账户信息实名）；</w:t>
      </w:r>
    </w:p>
    <w:p w14:paraId="44988040">
      <w:pPr>
        <w:numPr>
          <w:ilvl w:val="0"/>
          <w:numId w:val="1"/>
        </w:numPr>
        <w:spacing w:line="360" w:lineRule="auto"/>
        <w:ind w:left="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《条码支付业务规范》第二十二条（条码收款方需完成实名登记）；</w:t>
      </w:r>
    </w:p>
    <w:p w14:paraId="65A5CE0E">
      <w:pPr>
        <w:numPr>
          <w:ilvl w:val="0"/>
          <w:numId w:val="1"/>
        </w:numPr>
        <w:spacing w:line="360" w:lineRule="auto"/>
        <w:ind w:left="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《互联网金融从业机构反洗钱和反恐怖融资管理办法》第十条（依法识别客户身份、保障资金流向可追溯）。</w:t>
      </w:r>
    </w:p>
    <w:p w14:paraId="531EE782">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继续使用不符合监管要求的支付产品，贵司可能面临监管关注或相关处罚；如发生账户被用于非法交易的情况，还可能涉及《中华人民共和国刑法》第一百九十一条关于洗钱的相关法律责任。为切实保障贵司权益，及时完成支付产品升级至关重要。</w:t>
      </w:r>
    </w:p>
    <w:p w14:paraId="3FBB34DB">
      <w:pPr>
        <w:spacing w:line="360" w:lineRule="auto"/>
        <w:ind w:firstLine="480"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二、关于“壹企付”支付产品的迁移安排</w:t>
      </w:r>
    </w:p>
    <w:p w14:paraId="5718C743">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“壹企付”支付产品是我司严格依据监管要求开发的合规支付产品，可全面满足收款方实名认证、资金可追溯等要求，同时保持原有支付的便捷性与服务效率。为确保贵司业务无缝过渡，具体迁移操作如下：</w:t>
      </w:r>
    </w:p>
    <w:p w14:paraId="1F9F337B">
      <w:pPr>
        <w:numPr>
          <w:ilvl w:val="0"/>
          <w:numId w:val="1"/>
        </w:numPr>
        <w:spacing w:line="360" w:lineRule="auto"/>
        <w:ind w:left="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操作流程：登录我司线上平台，绑定与贵单位名称一致的对公银行账户，完成小额打款验证，并在线签署合规协议，即可完成实名认证；若需开通支付宝、微信支付等渠道，需另行完成对应渠道的商户身份认证。</w:t>
      </w:r>
    </w:p>
    <w:p w14:paraId="5480397F">
      <w:pPr>
        <w:numPr>
          <w:ilvl w:val="0"/>
          <w:numId w:val="1"/>
        </w:numPr>
        <w:spacing w:line="360" w:lineRule="auto"/>
        <w:ind w:left="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时间节点：请贵司于2025年12月31日前完成 “壹企付”产品的迁移与调试，确保新模式正常运行。</w:t>
      </w:r>
    </w:p>
    <w:p w14:paraId="27326359">
      <w:pPr>
        <w:numPr>
          <w:ilvl w:val="0"/>
          <w:numId w:val="1"/>
        </w:numPr>
        <w:spacing w:line="360" w:lineRule="auto"/>
        <w:ind w:left="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后续服务：2026年1月1日起，我司将正式关闭原 “线上支付 - 市场模式” 的收款、对账、退款等全部功能。如贵单位未在此前完成迁移，可能导致资金到账延迟、交易中断等风险，并可能引发相关合规争议或第三方纠纷，届时我司将难以继续承担相应责任，因此恳请贵司重视并尽早推进。</w:t>
      </w:r>
    </w:p>
    <w:p w14:paraId="1D91E435">
      <w:pPr>
        <w:spacing w:line="360" w:lineRule="auto"/>
        <w:ind w:firstLine="480"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三、支持与协助</w:t>
      </w:r>
    </w:p>
    <w:p w14:paraId="61FD5D25">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为协助贵单位顺利完成本次迁移，我司已组建专项服务团队，提供全程技术支持与操作指导。如有任何疑问或需支持，请通过以下方式联系我们：</w:t>
      </w:r>
    </w:p>
    <w:p w14:paraId="4DFD1A83">
      <w:pPr>
        <w:numPr>
          <w:ilvl w:val="0"/>
          <w:numId w:val="1"/>
        </w:numPr>
        <w:spacing w:line="360" w:lineRule="auto"/>
        <w:ind w:left="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专属客户经理：李全开15721270793</w:t>
      </w:r>
    </w:p>
    <w:p w14:paraId="6F3F9E59">
      <w:pPr>
        <w:numPr>
          <w:ilvl w:val="0"/>
          <w:numId w:val="1"/>
        </w:numPr>
        <w:spacing w:line="360" w:lineRule="auto"/>
        <w:ind w:left="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客服热线：4008609888</w:t>
      </w:r>
    </w:p>
    <w:p w14:paraId="52AE36D3">
      <w:pPr>
        <w:numPr>
          <w:ilvl w:val="0"/>
          <w:numId w:val="1"/>
        </w:numPr>
        <w:spacing w:line="360" w:lineRule="auto"/>
        <w:ind w:left="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电子邮箱：</w:t>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"mailto:（Liquankai@grgbanking.com）" </w:instrText>
      </w:r>
      <w:r>
        <w:rPr>
          <w:rFonts w:hint="eastAsia" w:ascii="宋体" w:hAnsi="宋体" w:eastAsia="宋体" w:cs="宋体"/>
          <w:b w:val="0"/>
          <w:bCs w:val="0"/>
          <w:sz w:val="24"/>
          <w:szCs w:val="24"/>
          <w:lang w:val="en-US" w:eastAsia="zh-CN"/>
        </w:rPr>
        <w:fldChar w:fldCharType="separate"/>
      </w:r>
      <w:r>
        <w:rPr>
          <w:rStyle w:val="5"/>
          <w:rFonts w:hint="eastAsia" w:ascii="宋体" w:hAnsi="宋体" w:eastAsia="宋体" w:cs="宋体"/>
          <w:b w:val="0"/>
          <w:bCs w:val="0"/>
          <w:sz w:val="24"/>
          <w:szCs w:val="24"/>
          <w:lang w:val="en-US" w:eastAsia="zh-CN"/>
        </w:rPr>
        <w:t>Liquankai@grgbanking.com</w:t>
      </w:r>
      <w:r>
        <w:rPr>
          <w:rFonts w:hint="eastAsia" w:ascii="宋体" w:hAnsi="宋体" w:eastAsia="宋体" w:cs="宋体"/>
          <w:b w:val="0"/>
          <w:bCs w:val="0"/>
          <w:sz w:val="24"/>
          <w:szCs w:val="24"/>
          <w:lang w:val="en-US" w:eastAsia="zh-CN"/>
        </w:rPr>
        <w:fldChar w:fldCharType="end"/>
      </w:r>
    </w:p>
    <w:p w14:paraId="53410DCE">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我们将在 1 个工作日内予以响应并协助解决。</w:t>
      </w:r>
    </w:p>
    <w:p w14:paraId="5F71684D">
      <w:pPr>
        <w:spacing w:line="360" w:lineRule="auto"/>
        <w:ind w:firstLine="480" w:firstLineChars="200"/>
        <w:jc w:val="left"/>
        <w:rPr>
          <w:rFonts w:hint="eastAsia" w:ascii="宋体" w:hAnsi="宋体" w:eastAsia="宋体" w:cs="宋体"/>
          <w:b w:val="0"/>
          <w:bCs w:val="0"/>
          <w:sz w:val="24"/>
          <w:szCs w:val="24"/>
          <w:lang w:val="en-US" w:eastAsia="zh-CN"/>
        </w:rPr>
      </w:pPr>
    </w:p>
    <w:p w14:paraId="60878DB3">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此次支付模式升级是双方共同落实监管要求、守护业务长期稳定发展的重要举措。衷心感谢贵单位的理解与配合，中金支付将持续以更合规、更优质的服务，为贵司的业务增长保驾护航。</w:t>
      </w:r>
    </w:p>
    <w:p w14:paraId="40C00A78">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如有任何疑问，欢迎随时沟通。</w:t>
      </w:r>
    </w:p>
    <w:p w14:paraId="6E80F6D0">
      <w:pPr>
        <w:spacing w:line="360" w:lineRule="auto"/>
        <w:ind w:firstLine="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顺祝商祺！</w:t>
      </w:r>
    </w:p>
    <w:p w14:paraId="3C5DF431">
      <w:pPr>
        <w:spacing w:line="360" w:lineRule="auto"/>
        <w:ind w:firstLine="5760" w:firstLineChars="24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中金支付有限公司</w:t>
      </w:r>
    </w:p>
    <w:p w14:paraId="2C3F5F2B">
      <w:pPr>
        <w:spacing w:line="360" w:lineRule="auto"/>
        <w:ind w:firstLine="6240" w:firstLineChars="2600"/>
        <w:jc w:val="left"/>
        <w:rPr>
          <w:rFonts w:hint="eastAsia" w:ascii="宋体" w:hAnsi="宋体" w:eastAsia="宋体" w:cs="宋体"/>
          <w:sz w:val="24"/>
        </w:rPr>
      </w:pPr>
      <w:r>
        <w:rPr>
          <w:rFonts w:hint="eastAsia" w:ascii="宋体" w:hAnsi="宋体" w:eastAsia="宋体" w:cs="宋体"/>
          <w:b w:val="0"/>
          <w:bCs w:val="0"/>
          <w:sz w:val="24"/>
          <w:szCs w:val="24"/>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AD0AF"/>
    <w:multiLevelType w:val="singleLevel"/>
    <w:tmpl w:val="D2CAD0A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5B868E"/>
    <w:rsid w:val="0DFF9A0A"/>
    <w:rsid w:val="1C275207"/>
    <w:rsid w:val="1FDF5694"/>
    <w:rsid w:val="33AA0B71"/>
    <w:rsid w:val="36CB7D31"/>
    <w:rsid w:val="3E7D7094"/>
    <w:rsid w:val="3EAF9389"/>
    <w:rsid w:val="46B78B6B"/>
    <w:rsid w:val="4DFFD8C0"/>
    <w:rsid w:val="5B6B09B1"/>
    <w:rsid w:val="5EFF9441"/>
    <w:rsid w:val="5FDB4735"/>
    <w:rsid w:val="62DF3975"/>
    <w:rsid w:val="67DFDAC6"/>
    <w:rsid w:val="6DF3C1A8"/>
    <w:rsid w:val="6FCEC08D"/>
    <w:rsid w:val="72BEA8E9"/>
    <w:rsid w:val="745DD7D3"/>
    <w:rsid w:val="775D51FF"/>
    <w:rsid w:val="777FB213"/>
    <w:rsid w:val="7CFD4291"/>
    <w:rsid w:val="7DF1AE16"/>
    <w:rsid w:val="7DFF63E3"/>
    <w:rsid w:val="7E67C49C"/>
    <w:rsid w:val="7F6F7DE9"/>
    <w:rsid w:val="7F79EA24"/>
    <w:rsid w:val="7FC96A2B"/>
    <w:rsid w:val="7FFFC84C"/>
    <w:rsid w:val="91F7B049"/>
    <w:rsid w:val="93FF3284"/>
    <w:rsid w:val="98DFE23B"/>
    <w:rsid w:val="AE9F3A0B"/>
    <w:rsid w:val="B5EF2AD3"/>
    <w:rsid w:val="BBB99F94"/>
    <w:rsid w:val="BEFE298C"/>
    <w:rsid w:val="BFFB8B9C"/>
    <w:rsid w:val="DDFAA677"/>
    <w:rsid w:val="E8EF12E2"/>
    <w:rsid w:val="E9BF2093"/>
    <w:rsid w:val="EBDBE2A8"/>
    <w:rsid w:val="ED798380"/>
    <w:rsid w:val="EDF77A9C"/>
    <w:rsid w:val="EFDA2EAF"/>
    <w:rsid w:val="EFDEB9CB"/>
    <w:rsid w:val="FABD29F6"/>
    <w:rsid w:val="FD5B8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1410</Words>
  <Characters>1468</Characters>
  <Lines>0</Lines>
  <Paragraphs>0</Paragraphs>
  <TotalTime>122</TotalTime>
  <ScaleCrop>false</ScaleCrop>
  <LinksUpToDate>false</LinksUpToDate>
  <CharactersWithSpaces>1513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2025-10-01T20:19:00Z</dcterms:created>
  <dc:creator>oo-新点</dc:creator>
  <cp:lastModifiedBy>oo-新点</cp:lastModifiedBy>
  <dcterms:modified xsi:type="dcterms:W3CDTF">2025-10-10T10:16:13Z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E9BC29A695CCA5056D6CE868B1C54722_43</vt:lpwstr>
  </property>
  <property fmtid="{D5CDD505-2E9C-101B-9397-08002B2CF9AE}" pid="4" name="KSOTemplateDocerSaveRecord">
    <vt:lpwstr>eyJoZGlkIjoiYmI1NTdlN2QzZTJhMTU0YTBiYTIzYzAzNTI2NThiZDQiLCJ1c2VySWQiOiIyODIxNTcwNDEifQ==</vt:lpwstr>
  </property>
</Properties>
</file>